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5A9" w:rsidRPr="00AA162B" w:rsidRDefault="00B435A9" w:rsidP="00B435A9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5A9" w:rsidRPr="00AA162B" w:rsidRDefault="00B435A9" w:rsidP="00B435A9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62B">
        <w:rPr>
          <w:rFonts w:ascii="Times New Roman" w:hAnsi="Times New Roman" w:cs="Times New Roman"/>
          <w:b/>
          <w:sz w:val="24"/>
          <w:szCs w:val="24"/>
        </w:rPr>
        <w:t>HYPERSENSIBILITE</w:t>
      </w:r>
    </w:p>
    <w:p w:rsidR="00B435A9" w:rsidRPr="0084306B" w:rsidRDefault="00B435A9" w:rsidP="00B435A9">
      <w:pPr>
        <w:tabs>
          <w:tab w:val="left" w:pos="1323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306B">
        <w:rPr>
          <w:rFonts w:ascii="Times New Roman" w:hAnsi="Times New Roman" w:cs="Times New Roman"/>
          <w:b/>
          <w:bCs/>
          <w:sz w:val="24"/>
          <w:szCs w:val="24"/>
        </w:rPr>
        <w:t xml:space="preserve">Introduction  </w:t>
      </w:r>
    </w:p>
    <w:p w:rsidR="00B435A9" w:rsidRPr="0084306B" w:rsidRDefault="00B435A9" w:rsidP="00B435A9">
      <w:pPr>
        <w:tabs>
          <w:tab w:val="left" w:pos="1323"/>
        </w:tabs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306B">
        <w:rPr>
          <w:rFonts w:ascii="Times New Roman" w:hAnsi="Times New Roman" w:cs="Times New Roman"/>
          <w:bCs/>
          <w:sz w:val="24"/>
          <w:szCs w:val="24"/>
        </w:rPr>
        <w:t>Le système immunitaire est un ensemble d’organes et de cellules destinés à protéger l’organisme contre des agents biologiques étrangers (bactéries, virus et parasites, mais également certaines toxines et cellules cancéreuses).</w:t>
      </w:r>
    </w:p>
    <w:p w:rsidR="00B435A9" w:rsidRPr="0084306B" w:rsidRDefault="00B435A9" w:rsidP="00B435A9">
      <w:pPr>
        <w:tabs>
          <w:tab w:val="left" w:pos="1323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306B">
        <w:rPr>
          <w:rFonts w:ascii="Times New Roman" w:hAnsi="Times New Roman" w:cs="Times New Roman"/>
          <w:bCs/>
          <w:sz w:val="24"/>
          <w:szCs w:val="24"/>
        </w:rPr>
        <w:t xml:space="preserve">A cet effet le système immunitaire humain utilise deux stratégies principales : La première est la production d’anticorps par des cellules spécialisées : les lymphocytes B. La deuxième est le fait de cellules également spécialisées </w:t>
      </w:r>
      <w:proofErr w:type="gramStart"/>
      <w:r w:rsidRPr="0084306B">
        <w:rPr>
          <w:rFonts w:ascii="Times New Roman" w:hAnsi="Times New Roman" w:cs="Times New Roman"/>
          <w:bCs/>
          <w:sz w:val="24"/>
          <w:szCs w:val="24"/>
        </w:rPr>
        <w:t>présentes</w:t>
      </w:r>
      <w:proofErr w:type="gramEnd"/>
      <w:r w:rsidRPr="0084306B">
        <w:rPr>
          <w:rFonts w:ascii="Times New Roman" w:hAnsi="Times New Roman" w:cs="Times New Roman"/>
          <w:bCs/>
          <w:sz w:val="24"/>
          <w:szCs w:val="24"/>
        </w:rPr>
        <w:t xml:space="preserve"> notamment dans le sang, les ganglions et la rate, les lymphocytes T, qui détruisent directement les agents étrangers par simple contact. </w:t>
      </w:r>
      <w:r w:rsidRPr="0084306B">
        <w:rPr>
          <w:rFonts w:ascii="Times New Roman" w:hAnsi="Times New Roman" w:cs="Times New Roman"/>
          <w:bCs/>
          <w:sz w:val="24"/>
          <w:szCs w:val="24"/>
        </w:rPr>
        <w:br/>
        <w:t>Le système immunitaire garde ce contact en mémoire et pourra, en cas de nouveau contact avec cet agent étranger, répondre beaucoup plus vite et plus efficacement.</w:t>
      </w:r>
    </w:p>
    <w:p w:rsidR="00B435A9" w:rsidRPr="0084306B" w:rsidRDefault="00B435A9" w:rsidP="00B435A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306B">
        <w:rPr>
          <w:rFonts w:ascii="Times New Roman" w:hAnsi="Times New Roman" w:cs="Times New Roman"/>
          <w:bCs/>
          <w:sz w:val="24"/>
          <w:szCs w:val="24"/>
        </w:rPr>
        <w:t>Bien que le système immunitaire est généralement de protection, les mécanismes immunologiques mêmes qui défendent l'hôte peuvent parfois entraîner de graves dommages aux tissus et, parfois, peut entraîner la mort.</w:t>
      </w:r>
      <w:r w:rsidRPr="0084306B">
        <w:rPr>
          <w:rFonts w:ascii="Times New Roman" w:hAnsi="Times New Roman" w:cs="Times New Roman"/>
          <w:sz w:val="24"/>
          <w:szCs w:val="24"/>
        </w:rPr>
        <w:t xml:space="preserve"> On distingue schématiquement les réactions d'hypersensibilité, les maladies auto-immunes, les syndromes </w:t>
      </w:r>
      <w:proofErr w:type="spellStart"/>
      <w:r w:rsidRPr="0084306B">
        <w:rPr>
          <w:rFonts w:ascii="Times New Roman" w:hAnsi="Times New Roman" w:cs="Times New Roman"/>
          <w:sz w:val="24"/>
          <w:szCs w:val="24"/>
        </w:rPr>
        <w:t>lymphoprolifératifs</w:t>
      </w:r>
      <w:proofErr w:type="spellEnd"/>
      <w:r w:rsidRPr="0084306B">
        <w:rPr>
          <w:rFonts w:ascii="Times New Roman" w:hAnsi="Times New Roman" w:cs="Times New Roman"/>
          <w:sz w:val="24"/>
          <w:szCs w:val="24"/>
        </w:rPr>
        <w:t xml:space="preserve"> et les déficits immunitaires. </w:t>
      </w:r>
    </w:p>
    <w:p w:rsidR="00B435A9" w:rsidRPr="0084306B" w:rsidRDefault="00B435A9" w:rsidP="00B435A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306B">
        <w:rPr>
          <w:rFonts w:ascii="Times New Roman" w:hAnsi="Times New Roman" w:cs="Times New Roman"/>
          <w:sz w:val="24"/>
          <w:szCs w:val="24"/>
        </w:rPr>
        <w:t>Donc, l’</w:t>
      </w:r>
      <w:proofErr w:type="spellStart"/>
      <w:r w:rsidRPr="0084306B">
        <w:rPr>
          <w:rFonts w:ascii="Times New Roman" w:hAnsi="Times New Roman" w:cs="Times New Roman"/>
          <w:b/>
          <w:sz w:val="24"/>
          <w:szCs w:val="24"/>
        </w:rPr>
        <w:t>immunopathologie</w:t>
      </w:r>
      <w:proofErr w:type="spellEnd"/>
      <w:r w:rsidRPr="0084306B">
        <w:rPr>
          <w:rFonts w:ascii="Times New Roman" w:hAnsi="Times New Roman" w:cs="Times New Roman"/>
          <w:b/>
          <w:sz w:val="24"/>
          <w:szCs w:val="24"/>
        </w:rPr>
        <w:t xml:space="preserve"> est l’étude des maladies qui ont, ou qui paraissent avoir, une cause principalement immunologique. </w:t>
      </w:r>
      <w:r w:rsidRPr="0084306B">
        <w:rPr>
          <w:rFonts w:ascii="Times New Roman" w:hAnsi="Times New Roman" w:cs="Times New Roman"/>
          <w:sz w:val="24"/>
          <w:szCs w:val="24"/>
        </w:rPr>
        <w:t xml:space="preserve">Elle permet de décoder le mécanisme de nos maladies inflammatoires. Mieux comprendre, c’est faciliter le diagnostic d’affections cliniques complexes dans lesquelles le raisonnement physiopathologique est fondamental. </w:t>
      </w:r>
    </w:p>
    <w:p w:rsidR="00B435A9" w:rsidRPr="0084306B" w:rsidRDefault="00B435A9" w:rsidP="00B435A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306B">
        <w:rPr>
          <w:rFonts w:ascii="Times New Roman" w:hAnsi="Times New Roman" w:cs="Times New Roman"/>
          <w:sz w:val="24"/>
          <w:szCs w:val="24"/>
        </w:rPr>
        <w:t xml:space="preserve">Elle doit aussi permettre de mieux définir une bonne stratégie thérapeutique. C’est l’un des objectifs majeurs des les maladies auto-immunes. </w:t>
      </w:r>
    </w:p>
    <w:p w:rsidR="00B435A9" w:rsidRPr="00AA162B" w:rsidRDefault="00B435A9" w:rsidP="00B435A9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62B">
        <w:rPr>
          <w:rFonts w:ascii="Times New Roman" w:hAnsi="Times New Roman" w:cs="Times New Roman"/>
          <w:b/>
          <w:sz w:val="24"/>
          <w:szCs w:val="24"/>
        </w:rPr>
        <w:t>1. Définition </w:t>
      </w:r>
    </w:p>
    <w:p w:rsidR="00B435A9" w:rsidRPr="00AA162B" w:rsidRDefault="00B435A9" w:rsidP="00B435A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62B">
        <w:rPr>
          <w:rFonts w:ascii="Times New Roman" w:hAnsi="Times New Roman" w:cs="Times New Roman"/>
          <w:sz w:val="24"/>
          <w:szCs w:val="24"/>
        </w:rPr>
        <w:t xml:space="preserve">On appelle ″hypersensibilité″ une réponse immunitaire qui, parce qu’elle est exagérée ou inappropriée, est à l’origine de lésions tissulaires. </w:t>
      </w:r>
    </w:p>
    <w:p w:rsidR="00B435A9" w:rsidRPr="00AA162B" w:rsidRDefault="00B435A9" w:rsidP="00B435A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62B">
        <w:rPr>
          <w:rFonts w:ascii="Times New Roman" w:hAnsi="Times New Roman" w:cs="Times New Roman"/>
          <w:sz w:val="24"/>
          <w:szCs w:val="24"/>
        </w:rPr>
        <w:t>L’hypersensibilité est une caractéristique individuelle; elle se manifeste lors d’une seconde exposition à un antigène donné.</w:t>
      </w:r>
    </w:p>
    <w:p w:rsidR="00B435A9" w:rsidRPr="00AA162B" w:rsidRDefault="00B435A9" w:rsidP="00B435A9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162B">
        <w:rPr>
          <w:rFonts w:ascii="Times New Roman" w:hAnsi="Times New Roman" w:cs="Times New Roman"/>
          <w:sz w:val="24"/>
          <w:szCs w:val="24"/>
        </w:rPr>
        <w:lastRenderedPageBreak/>
        <w:t>Coombs</w:t>
      </w:r>
      <w:proofErr w:type="spellEnd"/>
      <w:r w:rsidRPr="00AA162B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AA162B">
        <w:rPr>
          <w:rFonts w:ascii="Times New Roman" w:hAnsi="Times New Roman" w:cs="Times New Roman"/>
          <w:sz w:val="24"/>
          <w:szCs w:val="24"/>
        </w:rPr>
        <w:t>Gell</w:t>
      </w:r>
      <w:proofErr w:type="spellEnd"/>
      <w:r w:rsidRPr="00AA162B">
        <w:rPr>
          <w:rFonts w:ascii="Times New Roman" w:hAnsi="Times New Roman" w:cs="Times New Roman"/>
          <w:sz w:val="24"/>
          <w:szCs w:val="24"/>
        </w:rPr>
        <w:t xml:space="preserve"> ont défini quatre types d’hypersensibilité (I, II, III et IV) qui peuvent être isolés ou associés. Les trois premiers se déroulent dans la branche </w:t>
      </w:r>
      <w:r w:rsidRPr="00AA162B">
        <w:rPr>
          <w:rFonts w:ascii="Times New Roman" w:hAnsi="Times New Roman" w:cs="Times New Roman"/>
          <w:b/>
          <w:bCs/>
          <w:sz w:val="24"/>
          <w:szCs w:val="24"/>
        </w:rPr>
        <w:t>humorale</w:t>
      </w:r>
      <w:r w:rsidRPr="00AA162B">
        <w:rPr>
          <w:rFonts w:ascii="Times New Roman" w:hAnsi="Times New Roman" w:cs="Times New Roman"/>
          <w:sz w:val="24"/>
          <w:szCs w:val="24"/>
        </w:rPr>
        <w:t xml:space="preserve"> et sont déclenchés par des </w:t>
      </w:r>
      <w:r w:rsidRPr="00AA162B">
        <w:rPr>
          <w:rFonts w:ascii="Times New Roman" w:hAnsi="Times New Roman" w:cs="Times New Roman"/>
          <w:b/>
          <w:bCs/>
          <w:sz w:val="24"/>
          <w:szCs w:val="24"/>
        </w:rPr>
        <w:t>anticorps</w:t>
      </w:r>
      <w:r w:rsidRPr="00AA162B">
        <w:rPr>
          <w:rFonts w:ascii="Times New Roman" w:hAnsi="Times New Roman" w:cs="Times New Roman"/>
          <w:sz w:val="24"/>
          <w:szCs w:val="24"/>
        </w:rPr>
        <w:t xml:space="preserve"> ou des complexes </w:t>
      </w:r>
      <w:r w:rsidRPr="00AA162B">
        <w:rPr>
          <w:rFonts w:ascii="Times New Roman" w:hAnsi="Times New Roman" w:cs="Times New Roman"/>
          <w:b/>
          <w:bCs/>
          <w:sz w:val="24"/>
          <w:szCs w:val="24"/>
        </w:rPr>
        <w:t>antigène-anticorps</w:t>
      </w:r>
      <w:r w:rsidRPr="00AA162B">
        <w:rPr>
          <w:rFonts w:ascii="Times New Roman" w:hAnsi="Times New Roman" w:cs="Times New Roman"/>
          <w:sz w:val="24"/>
          <w:szCs w:val="24"/>
        </w:rPr>
        <w:t xml:space="preserve">; ils comprennent les réactions induites par des </w:t>
      </w:r>
      <w:proofErr w:type="spellStart"/>
      <w:r w:rsidRPr="00AA162B">
        <w:rPr>
          <w:rFonts w:ascii="Times New Roman" w:hAnsi="Times New Roman" w:cs="Times New Roman"/>
          <w:sz w:val="24"/>
          <w:szCs w:val="24"/>
        </w:rPr>
        <w:t>IgE</w:t>
      </w:r>
      <w:proofErr w:type="spellEnd"/>
      <w:r w:rsidRPr="00AA162B">
        <w:rPr>
          <w:rFonts w:ascii="Times New Roman" w:hAnsi="Times New Roman" w:cs="Times New Roman"/>
          <w:sz w:val="24"/>
          <w:szCs w:val="24"/>
        </w:rPr>
        <w:t xml:space="preserve"> (type I), par les anticorps (type II) et les réactions provoquées par des complexes immuns (type III). Un quatrième type d’hypersensibilité dépend de l’activation des </w:t>
      </w:r>
      <w:r w:rsidRPr="00AA162B">
        <w:rPr>
          <w:rFonts w:ascii="Times New Roman" w:hAnsi="Times New Roman" w:cs="Times New Roman"/>
          <w:b/>
          <w:bCs/>
          <w:sz w:val="24"/>
          <w:szCs w:val="24"/>
        </w:rPr>
        <w:t>cellules T</w:t>
      </w:r>
      <w:r w:rsidRPr="00AA162B">
        <w:rPr>
          <w:rFonts w:ascii="Times New Roman" w:hAnsi="Times New Roman" w:cs="Times New Roman"/>
          <w:sz w:val="24"/>
          <w:szCs w:val="24"/>
        </w:rPr>
        <w:t xml:space="preserve"> de la branche </w:t>
      </w:r>
      <w:r w:rsidRPr="00AA162B">
        <w:rPr>
          <w:rFonts w:ascii="Times New Roman" w:hAnsi="Times New Roman" w:cs="Times New Roman"/>
          <w:b/>
          <w:bCs/>
          <w:sz w:val="24"/>
          <w:szCs w:val="24"/>
        </w:rPr>
        <w:t xml:space="preserve">cellulaire </w:t>
      </w:r>
      <w:r w:rsidRPr="00AA162B">
        <w:rPr>
          <w:rFonts w:ascii="Times New Roman" w:hAnsi="Times New Roman" w:cs="Times New Roman"/>
          <w:sz w:val="24"/>
          <w:szCs w:val="24"/>
        </w:rPr>
        <w:t>est appelé hypersensibilité retardée ou DTH (type IV). Chaque type implique des mécanismes immunitaires, des cellules et des médiateurs moléculaires distincts (Fig.1).</w:t>
      </w:r>
    </w:p>
    <w:p w:rsidR="00B435A9" w:rsidRPr="00AA162B" w:rsidRDefault="00B435A9" w:rsidP="00B435A9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62B">
        <w:rPr>
          <w:rFonts w:ascii="Times New Roman" w:hAnsi="Times New Roman" w:cs="Times New Roman"/>
          <w:b/>
          <w:sz w:val="24"/>
          <w:szCs w:val="24"/>
        </w:rPr>
        <w:t>2. Hypersensibilité de type I (</w:t>
      </w:r>
      <w:r w:rsidRPr="00AA162B">
        <w:rPr>
          <w:rFonts w:ascii="Times New Roman" w:hAnsi="Times New Roman" w:cs="Times New Roman"/>
          <w:b/>
          <w:bCs/>
          <w:sz w:val="24"/>
          <w:szCs w:val="24"/>
        </w:rPr>
        <w:t>réaction immédiate</w:t>
      </w:r>
      <w:r w:rsidRPr="00AA162B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B435A9" w:rsidRPr="00AA162B" w:rsidRDefault="00B435A9" w:rsidP="00B435A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62B">
        <w:rPr>
          <w:rFonts w:ascii="Times New Roman" w:hAnsi="Times New Roman" w:cs="Times New Roman"/>
          <w:sz w:val="24"/>
          <w:szCs w:val="24"/>
        </w:rPr>
        <w:t xml:space="preserve">Une réaction d’hypersensibilité de type I (HS I) est induite par certains Ag, appelés </w:t>
      </w:r>
      <w:r w:rsidRPr="00AA162B">
        <w:rPr>
          <w:rFonts w:ascii="Times New Roman" w:hAnsi="Times New Roman" w:cs="Times New Roman"/>
          <w:b/>
          <w:sz w:val="24"/>
          <w:szCs w:val="24"/>
        </w:rPr>
        <w:t>allergènes</w:t>
      </w:r>
      <w:r w:rsidRPr="00AA162B">
        <w:rPr>
          <w:rFonts w:ascii="Times New Roman" w:hAnsi="Times New Roman" w:cs="Times New Roman"/>
          <w:sz w:val="24"/>
          <w:szCs w:val="24"/>
        </w:rPr>
        <w:t xml:space="preserve"> ; elle a toutes les caractéristiques d’une réponse humorale normale. </w:t>
      </w:r>
    </w:p>
    <w:p w:rsidR="00B435A9" w:rsidRPr="00AA162B" w:rsidRDefault="00B435A9" w:rsidP="00B435A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162B">
        <w:rPr>
          <w:rFonts w:ascii="Times New Roman" w:hAnsi="Times New Roman" w:cs="Times New Roman"/>
          <w:sz w:val="24"/>
          <w:szCs w:val="24"/>
        </w:rPr>
        <w:t xml:space="preserve">Ce qui </w:t>
      </w:r>
      <w:r w:rsidRPr="00AA162B">
        <w:rPr>
          <w:rFonts w:ascii="Times New Roman" w:hAnsi="Times New Roman" w:cs="Times New Roman"/>
          <w:b/>
          <w:bCs/>
          <w:sz w:val="24"/>
          <w:szCs w:val="24"/>
        </w:rPr>
        <w:t>distingue</w:t>
      </w:r>
      <w:r w:rsidRPr="00AA162B">
        <w:rPr>
          <w:rFonts w:ascii="Times New Roman" w:hAnsi="Times New Roman" w:cs="Times New Roman"/>
          <w:sz w:val="24"/>
          <w:szCs w:val="24"/>
        </w:rPr>
        <w:t xml:space="preserve"> une réponse d’HS I d’une réponse humorale normale est la sécrétion des d’</w:t>
      </w:r>
      <w:proofErr w:type="spellStart"/>
      <w:r w:rsidRPr="00AA162B">
        <w:rPr>
          <w:rFonts w:ascii="Times New Roman" w:hAnsi="Times New Roman" w:cs="Times New Roman"/>
          <w:sz w:val="24"/>
          <w:szCs w:val="24"/>
        </w:rPr>
        <w:t>IgE</w:t>
      </w:r>
      <w:proofErr w:type="spellEnd"/>
      <w:r w:rsidRPr="00AA162B">
        <w:rPr>
          <w:rFonts w:ascii="Times New Roman" w:hAnsi="Times New Roman" w:cs="Times New Roman"/>
          <w:sz w:val="24"/>
          <w:szCs w:val="24"/>
        </w:rPr>
        <w:t xml:space="preserve"> par les plasmocytes en réponse à l’activation de cellules TH2 spécifiques aux allergènes. Cette classe d’anticorps se lie avec une forte affinité aux</w:t>
      </w:r>
      <w:r w:rsidRPr="00AA162B">
        <w:rPr>
          <w:rFonts w:ascii="Times New Roman" w:hAnsi="Times New Roman" w:cs="Times New Roman"/>
          <w:b/>
          <w:sz w:val="24"/>
          <w:szCs w:val="24"/>
        </w:rPr>
        <w:t xml:space="preserve"> récepteurs de </w:t>
      </w:r>
      <w:proofErr w:type="spellStart"/>
      <w:r w:rsidRPr="00AA162B">
        <w:rPr>
          <w:rFonts w:ascii="Times New Roman" w:hAnsi="Times New Roman" w:cs="Times New Roman"/>
          <w:b/>
          <w:sz w:val="24"/>
          <w:szCs w:val="24"/>
        </w:rPr>
        <w:t>Fc</w:t>
      </w:r>
      <w:proofErr w:type="spellEnd"/>
      <w:r w:rsidRPr="00AA16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162B">
        <w:rPr>
          <w:rFonts w:ascii="Times New Roman" w:hAnsi="Times New Roman" w:cs="Times New Roman"/>
          <w:sz w:val="24"/>
          <w:szCs w:val="24"/>
        </w:rPr>
        <w:t>des mastocytes tissulaires et des basophiles du sang. Les mastocytes et les basophiles recouverts d’</w:t>
      </w:r>
      <w:proofErr w:type="spellStart"/>
      <w:r w:rsidRPr="00AA162B">
        <w:rPr>
          <w:rFonts w:ascii="Times New Roman" w:hAnsi="Times New Roman" w:cs="Times New Roman"/>
          <w:sz w:val="24"/>
          <w:szCs w:val="24"/>
        </w:rPr>
        <w:t>IgE</w:t>
      </w:r>
      <w:proofErr w:type="spellEnd"/>
      <w:r w:rsidRPr="00AA162B">
        <w:rPr>
          <w:rFonts w:ascii="Times New Roman" w:hAnsi="Times New Roman" w:cs="Times New Roman"/>
          <w:sz w:val="24"/>
          <w:szCs w:val="24"/>
        </w:rPr>
        <w:t xml:space="preserve"> sont dits </w:t>
      </w:r>
      <w:r w:rsidRPr="00AA162B">
        <w:rPr>
          <w:rFonts w:ascii="Times New Roman" w:hAnsi="Times New Roman" w:cs="Times New Roman"/>
          <w:b/>
          <w:bCs/>
          <w:sz w:val="24"/>
          <w:szCs w:val="24"/>
        </w:rPr>
        <w:t>sensibilisés</w:t>
      </w:r>
      <w:r w:rsidRPr="00AA162B">
        <w:rPr>
          <w:rFonts w:ascii="Times New Roman" w:hAnsi="Times New Roman" w:cs="Times New Roman"/>
          <w:sz w:val="24"/>
          <w:szCs w:val="24"/>
        </w:rPr>
        <w:t xml:space="preserve">. Une exposition ultérieure au même allergène conduit à des liaisons croisées entre les </w:t>
      </w:r>
      <w:proofErr w:type="spellStart"/>
      <w:r w:rsidRPr="00AA162B">
        <w:rPr>
          <w:rFonts w:ascii="Times New Roman" w:hAnsi="Times New Roman" w:cs="Times New Roman"/>
          <w:sz w:val="24"/>
          <w:szCs w:val="24"/>
        </w:rPr>
        <w:t>IgE</w:t>
      </w:r>
      <w:proofErr w:type="spellEnd"/>
      <w:r w:rsidRPr="00AA162B">
        <w:rPr>
          <w:rFonts w:ascii="Times New Roman" w:hAnsi="Times New Roman" w:cs="Times New Roman"/>
          <w:sz w:val="24"/>
          <w:szCs w:val="24"/>
        </w:rPr>
        <w:t xml:space="preserve"> fixées sur la membrane des mastocytes ou des basophiles sensibilisés, ce qui provoque la </w:t>
      </w:r>
      <w:r w:rsidRPr="00AA162B">
        <w:rPr>
          <w:rFonts w:ascii="Times New Roman" w:hAnsi="Times New Roman" w:cs="Times New Roman"/>
          <w:b/>
          <w:sz w:val="24"/>
          <w:szCs w:val="24"/>
        </w:rPr>
        <w:t xml:space="preserve">dégranulation </w:t>
      </w:r>
      <w:r w:rsidRPr="00AA162B">
        <w:rPr>
          <w:rFonts w:ascii="Times New Roman" w:hAnsi="Times New Roman" w:cs="Times New Roman"/>
          <w:sz w:val="24"/>
          <w:szCs w:val="24"/>
        </w:rPr>
        <w:t xml:space="preserve">de ces cellules (Fig.2). Les médiateurs </w:t>
      </w:r>
      <w:proofErr w:type="spellStart"/>
      <w:r w:rsidRPr="00AA162B">
        <w:rPr>
          <w:rFonts w:ascii="Times New Roman" w:hAnsi="Times New Roman" w:cs="Times New Roman"/>
          <w:sz w:val="24"/>
          <w:szCs w:val="24"/>
        </w:rPr>
        <w:t>pharmacologiquement</w:t>
      </w:r>
      <w:proofErr w:type="spellEnd"/>
      <w:r w:rsidRPr="00AA162B">
        <w:rPr>
          <w:rFonts w:ascii="Times New Roman" w:hAnsi="Times New Roman" w:cs="Times New Roman"/>
          <w:sz w:val="24"/>
          <w:szCs w:val="24"/>
        </w:rPr>
        <w:t xml:space="preserve"> actifs libérés des granules agissent sur les tissus avoisinants. </w:t>
      </w:r>
    </w:p>
    <w:p w:rsidR="00B435A9" w:rsidRPr="00AA162B" w:rsidRDefault="00B435A9" w:rsidP="00B435A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62B">
        <w:rPr>
          <w:rFonts w:ascii="Times New Roman" w:hAnsi="Times New Roman" w:cs="Times New Roman"/>
          <w:sz w:val="24"/>
          <w:szCs w:val="24"/>
        </w:rPr>
        <w:t>Les principaux effets, vasodilatation et contraction des muscles, peuvent être soit systémiques, soit localisés, selon la quantité de médiateurs libérés. Aujourd’hui, le terme d’allergie est assimilé à d’HS I.</w:t>
      </w:r>
    </w:p>
    <w:p w:rsidR="00B435A9" w:rsidRPr="00AA162B" w:rsidRDefault="00B435A9" w:rsidP="00B435A9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6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162B">
        <w:rPr>
          <w:rFonts w:ascii="Times New Roman" w:hAnsi="Times New Roman" w:cs="Times New Roman"/>
          <w:b/>
          <w:sz w:val="24"/>
          <w:szCs w:val="24"/>
        </w:rPr>
        <w:t>2.1 Facteurs intervenant dans  la réaction de type I </w:t>
      </w:r>
    </w:p>
    <w:p w:rsidR="00B435A9" w:rsidRPr="00AA162B" w:rsidRDefault="00B435A9" w:rsidP="00B435A9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62B">
        <w:rPr>
          <w:rFonts w:ascii="Times New Roman" w:hAnsi="Times New Roman" w:cs="Times New Roman"/>
          <w:b/>
          <w:sz w:val="24"/>
          <w:szCs w:val="24"/>
        </w:rPr>
        <w:t xml:space="preserve">2.1.1 Allergènes  </w:t>
      </w:r>
    </w:p>
    <w:p w:rsidR="00B435A9" w:rsidRPr="00AA162B" w:rsidRDefault="00B435A9" w:rsidP="00B435A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62B">
        <w:rPr>
          <w:rFonts w:ascii="Times New Roman" w:hAnsi="Times New Roman" w:cs="Times New Roman"/>
          <w:b/>
          <w:sz w:val="24"/>
          <w:szCs w:val="24"/>
        </w:rPr>
        <w:t xml:space="preserve">2.1.2 Anticorps </w:t>
      </w:r>
      <w:proofErr w:type="spellStart"/>
      <w:r w:rsidRPr="00AA162B">
        <w:rPr>
          <w:rFonts w:ascii="Times New Roman" w:hAnsi="Times New Roman" w:cs="Times New Roman"/>
          <w:b/>
          <w:sz w:val="24"/>
          <w:szCs w:val="24"/>
        </w:rPr>
        <w:t>réaginique</w:t>
      </w:r>
      <w:proofErr w:type="spellEnd"/>
      <w:r w:rsidRPr="00AA162B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AA162B">
        <w:rPr>
          <w:rFonts w:ascii="Times New Roman" w:hAnsi="Times New Roman" w:cs="Times New Roman"/>
          <w:b/>
          <w:sz w:val="24"/>
          <w:szCs w:val="24"/>
        </w:rPr>
        <w:t>IgE</w:t>
      </w:r>
      <w:proofErr w:type="spellEnd"/>
      <w:r w:rsidRPr="00AA162B">
        <w:rPr>
          <w:rFonts w:ascii="Times New Roman" w:hAnsi="Times New Roman" w:cs="Times New Roman"/>
          <w:b/>
          <w:sz w:val="24"/>
          <w:szCs w:val="24"/>
        </w:rPr>
        <w:t>) </w:t>
      </w:r>
    </w:p>
    <w:p w:rsidR="00B435A9" w:rsidRPr="00AA162B" w:rsidRDefault="00B435A9" w:rsidP="00B435A9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62B">
        <w:rPr>
          <w:rFonts w:ascii="Times New Roman" w:hAnsi="Times New Roman" w:cs="Times New Roman"/>
          <w:b/>
          <w:sz w:val="24"/>
          <w:szCs w:val="24"/>
        </w:rPr>
        <w:t>2.1.3 Mastocytes et basophiles </w:t>
      </w:r>
    </w:p>
    <w:p w:rsidR="00B435A9" w:rsidRPr="00AA162B" w:rsidRDefault="00B435A9" w:rsidP="00B435A9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62B">
        <w:rPr>
          <w:rFonts w:ascii="Times New Roman" w:hAnsi="Times New Roman" w:cs="Times New Roman"/>
          <w:b/>
          <w:sz w:val="24"/>
          <w:szCs w:val="24"/>
        </w:rPr>
        <w:t xml:space="preserve">2.1.4 Récepteurs de </w:t>
      </w:r>
      <w:proofErr w:type="spellStart"/>
      <w:r w:rsidRPr="00AA162B">
        <w:rPr>
          <w:rFonts w:ascii="Times New Roman" w:hAnsi="Times New Roman" w:cs="Times New Roman"/>
          <w:b/>
          <w:sz w:val="24"/>
          <w:szCs w:val="24"/>
        </w:rPr>
        <w:t>Fc</w:t>
      </w:r>
      <w:proofErr w:type="spellEnd"/>
      <w:r w:rsidRPr="00AA162B">
        <w:rPr>
          <w:rFonts w:ascii="Times New Roman" w:hAnsi="Times New Roman" w:cs="Times New Roman"/>
          <w:b/>
          <w:sz w:val="24"/>
          <w:szCs w:val="24"/>
        </w:rPr>
        <w:t xml:space="preserve"> fixant l’</w:t>
      </w:r>
      <w:proofErr w:type="spellStart"/>
      <w:r w:rsidRPr="00AA162B">
        <w:rPr>
          <w:rFonts w:ascii="Times New Roman" w:hAnsi="Times New Roman" w:cs="Times New Roman"/>
          <w:b/>
          <w:sz w:val="24"/>
          <w:szCs w:val="24"/>
        </w:rPr>
        <w:t>IgE</w:t>
      </w:r>
      <w:proofErr w:type="spellEnd"/>
    </w:p>
    <w:p w:rsidR="00B435A9" w:rsidRPr="00AA162B" w:rsidRDefault="00B435A9" w:rsidP="00B435A9">
      <w:pPr>
        <w:tabs>
          <w:tab w:val="left" w:pos="3645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A162B">
        <w:rPr>
          <w:rFonts w:ascii="Times New Roman" w:hAnsi="Times New Roman" w:cs="Times New Roman"/>
          <w:b/>
          <w:sz w:val="24"/>
          <w:szCs w:val="24"/>
        </w:rPr>
        <w:t>2.1.4.1 Récepteur de haute affinité (</w:t>
      </w:r>
      <w:proofErr w:type="spellStart"/>
      <w:r w:rsidRPr="00AA162B">
        <w:rPr>
          <w:rFonts w:ascii="Times New Roman" w:hAnsi="Times New Roman" w:cs="Times New Roman"/>
          <w:b/>
          <w:sz w:val="24"/>
          <w:szCs w:val="24"/>
        </w:rPr>
        <w:t>FcεRI</w:t>
      </w:r>
      <w:proofErr w:type="spellEnd"/>
      <w:r w:rsidRPr="00AA162B">
        <w:rPr>
          <w:rFonts w:ascii="Times New Roman" w:hAnsi="Times New Roman" w:cs="Times New Roman"/>
          <w:b/>
          <w:sz w:val="24"/>
          <w:szCs w:val="24"/>
        </w:rPr>
        <w:t>) </w:t>
      </w:r>
    </w:p>
    <w:p w:rsidR="00B435A9" w:rsidRPr="00AA162B" w:rsidRDefault="00B435A9" w:rsidP="00B435A9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62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435A9" w:rsidRPr="00AA162B" w:rsidRDefault="00B435A9" w:rsidP="00B435A9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62B">
        <w:rPr>
          <w:rFonts w:ascii="Times New Roman" w:hAnsi="Times New Roman" w:cs="Times New Roman"/>
          <w:b/>
          <w:sz w:val="24"/>
          <w:szCs w:val="24"/>
        </w:rPr>
        <w:lastRenderedPageBreak/>
        <w:t>2.1.4.2 Récepteur de faible affinité (</w:t>
      </w:r>
      <w:proofErr w:type="spellStart"/>
      <w:r w:rsidRPr="00AA162B">
        <w:rPr>
          <w:rFonts w:ascii="Times New Roman" w:hAnsi="Times New Roman" w:cs="Times New Roman"/>
          <w:b/>
          <w:sz w:val="24"/>
          <w:szCs w:val="24"/>
        </w:rPr>
        <w:t>FcεRII</w:t>
      </w:r>
      <w:proofErr w:type="spellEnd"/>
      <w:r w:rsidRPr="00AA162B">
        <w:rPr>
          <w:rFonts w:ascii="Times New Roman" w:hAnsi="Times New Roman" w:cs="Times New Roman"/>
          <w:b/>
          <w:sz w:val="24"/>
          <w:szCs w:val="24"/>
        </w:rPr>
        <w:t>)</w:t>
      </w:r>
    </w:p>
    <w:p w:rsidR="00B435A9" w:rsidRPr="00AA162B" w:rsidRDefault="00B435A9" w:rsidP="00B435A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62B">
        <w:rPr>
          <w:rFonts w:ascii="Times New Roman" w:hAnsi="Times New Roman" w:cs="Times New Roman"/>
          <w:b/>
          <w:bCs/>
          <w:sz w:val="24"/>
          <w:szCs w:val="24"/>
        </w:rPr>
        <w:t xml:space="preserve">2.2 Le mécanisme de la réaction allergique médiée par </w:t>
      </w:r>
      <w:proofErr w:type="spellStart"/>
      <w:r w:rsidRPr="00AA162B">
        <w:rPr>
          <w:rFonts w:ascii="Times New Roman" w:hAnsi="Times New Roman" w:cs="Times New Roman"/>
          <w:b/>
          <w:bCs/>
          <w:sz w:val="24"/>
          <w:szCs w:val="24"/>
        </w:rPr>
        <w:t>IgE</w:t>
      </w:r>
      <w:proofErr w:type="spellEnd"/>
      <w:r w:rsidRPr="00AA162B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B435A9" w:rsidRPr="00AA162B" w:rsidRDefault="00B435A9" w:rsidP="00B435A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62B">
        <w:rPr>
          <w:rFonts w:ascii="Times New Roman" w:hAnsi="Times New Roman" w:cs="Times New Roman"/>
          <w:sz w:val="24"/>
          <w:szCs w:val="24"/>
        </w:rPr>
        <w:t xml:space="preserve">Le mécanisme de la réaction allergique médiée par </w:t>
      </w:r>
      <w:proofErr w:type="spellStart"/>
      <w:r w:rsidRPr="00AA162B">
        <w:rPr>
          <w:rFonts w:ascii="Times New Roman" w:hAnsi="Times New Roman" w:cs="Times New Roman"/>
          <w:sz w:val="24"/>
          <w:szCs w:val="24"/>
        </w:rPr>
        <w:t>IgE</w:t>
      </w:r>
      <w:proofErr w:type="spellEnd"/>
      <w:r w:rsidRPr="00AA162B">
        <w:rPr>
          <w:rFonts w:ascii="Times New Roman" w:hAnsi="Times New Roman" w:cs="Times New Roman"/>
          <w:sz w:val="24"/>
          <w:szCs w:val="24"/>
        </w:rPr>
        <w:t xml:space="preserve"> se déroule en 2 étapes : </w:t>
      </w:r>
    </w:p>
    <w:p w:rsidR="00B435A9" w:rsidRPr="00AA162B" w:rsidRDefault="00B435A9" w:rsidP="00B435A9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62B">
        <w:rPr>
          <w:rFonts w:ascii="Times New Roman" w:hAnsi="Times New Roman" w:cs="Times New Roman"/>
          <w:b/>
          <w:bCs/>
          <w:sz w:val="24"/>
          <w:szCs w:val="24"/>
        </w:rPr>
        <w:t xml:space="preserve">La sensibilisation </w:t>
      </w:r>
    </w:p>
    <w:p w:rsidR="00B435A9" w:rsidRPr="00AA162B" w:rsidRDefault="00B435A9" w:rsidP="00B435A9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62B">
        <w:rPr>
          <w:rFonts w:ascii="Times New Roman" w:hAnsi="Times New Roman" w:cs="Times New Roman"/>
          <w:b/>
          <w:bCs/>
          <w:sz w:val="24"/>
          <w:szCs w:val="24"/>
        </w:rPr>
        <w:t xml:space="preserve">La réaction allergique proprement dite </w:t>
      </w:r>
      <w:bookmarkStart w:id="0" w:name="L___hypersensibilit___de_type_II__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435A9" w:rsidRPr="00AA162B" w:rsidRDefault="00B435A9" w:rsidP="00B435A9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62B">
        <w:rPr>
          <w:rFonts w:ascii="Times New Roman" w:hAnsi="Times New Roman" w:cs="Times New Roman"/>
          <w:b/>
          <w:sz w:val="24"/>
          <w:szCs w:val="24"/>
        </w:rPr>
        <w:t>2.3 Mécanisme de dégranulation induite par l’</w:t>
      </w:r>
      <w:proofErr w:type="spellStart"/>
      <w:r w:rsidRPr="00AA162B">
        <w:rPr>
          <w:rFonts w:ascii="Times New Roman" w:hAnsi="Times New Roman" w:cs="Times New Roman"/>
          <w:b/>
          <w:sz w:val="24"/>
          <w:szCs w:val="24"/>
        </w:rPr>
        <w:t>IgE</w:t>
      </w:r>
      <w:proofErr w:type="spellEnd"/>
      <w:r w:rsidRPr="00AA162B">
        <w:rPr>
          <w:rFonts w:ascii="Times New Roman" w:hAnsi="Times New Roman" w:cs="Times New Roman"/>
          <w:b/>
          <w:sz w:val="24"/>
          <w:szCs w:val="24"/>
        </w:rPr>
        <w:t> </w:t>
      </w:r>
    </w:p>
    <w:p w:rsidR="00B435A9" w:rsidRPr="00B435A9" w:rsidRDefault="00B435A9" w:rsidP="00B435A9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5A9">
        <w:rPr>
          <w:rFonts w:ascii="Times New Roman" w:hAnsi="Times New Roman" w:cs="Times New Roman"/>
          <w:b/>
          <w:sz w:val="24"/>
          <w:szCs w:val="24"/>
        </w:rPr>
        <w:t xml:space="preserve">Médiateurs primaires (préformés)  </w:t>
      </w:r>
    </w:p>
    <w:p w:rsidR="00B435A9" w:rsidRPr="00B435A9" w:rsidRDefault="00B435A9" w:rsidP="00B435A9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5A9">
        <w:rPr>
          <w:rFonts w:ascii="Times New Roman" w:hAnsi="Times New Roman" w:cs="Times New Roman"/>
          <w:b/>
          <w:sz w:val="24"/>
          <w:szCs w:val="24"/>
        </w:rPr>
        <w:t>Médiateurs secondaires (néoformés)</w:t>
      </w:r>
      <w:r w:rsidRPr="00B435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5A9" w:rsidRPr="00AA162B" w:rsidRDefault="00B435A9" w:rsidP="00B435A9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62B">
        <w:rPr>
          <w:rFonts w:ascii="Times New Roman" w:hAnsi="Times New Roman" w:cs="Times New Roman"/>
          <w:b/>
          <w:sz w:val="24"/>
          <w:szCs w:val="24"/>
        </w:rPr>
        <w:t>Tableau.1 : Principaux médiateurs impliqués dans l’HSI</w:t>
      </w:r>
    </w:p>
    <w:tbl>
      <w:tblPr>
        <w:tblStyle w:val="Ombrageclair1"/>
        <w:tblW w:w="0" w:type="auto"/>
        <w:tblLook w:val="04A0"/>
      </w:tblPr>
      <w:tblGrid>
        <w:gridCol w:w="3104"/>
        <w:gridCol w:w="6703"/>
      </w:tblGrid>
      <w:tr w:rsidR="00B435A9" w:rsidRPr="00AA162B" w:rsidTr="002A56A3">
        <w:trPr>
          <w:cnfStyle w:val="100000000000"/>
          <w:trHeight w:val="408"/>
        </w:trPr>
        <w:tc>
          <w:tcPr>
            <w:cnfStyle w:val="001000000000"/>
            <w:tcW w:w="3104" w:type="dxa"/>
          </w:tcPr>
          <w:p w:rsidR="00B435A9" w:rsidRPr="00AA162B" w:rsidRDefault="00B435A9" w:rsidP="002A56A3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AA16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Médiateur </w:t>
            </w:r>
          </w:p>
        </w:tc>
        <w:tc>
          <w:tcPr>
            <w:tcW w:w="6703" w:type="dxa"/>
          </w:tcPr>
          <w:p w:rsidR="00B435A9" w:rsidRPr="00AA162B" w:rsidRDefault="00B435A9" w:rsidP="002A56A3">
            <w:pPr>
              <w:spacing w:line="360" w:lineRule="auto"/>
              <w:jc w:val="both"/>
              <w:cnfStyle w:val="100000000000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AA16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Effets</w:t>
            </w:r>
          </w:p>
        </w:tc>
      </w:tr>
      <w:tr w:rsidR="00B435A9" w:rsidRPr="00AA162B" w:rsidTr="002A56A3">
        <w:trPr>
          <w:cnfStyle w:val="000000100000"/>
          <w:trHeight w:val="391"/>
        </w:trPr>
        <w:tc>
          <w:tcPr>
            <w:cnfStyle w:val="001000000000"/>
            <w:tcW w:w="3104" w:type="dxa"/>
            <w:tcBorders>
              <w:bottom w:val="single" w:sz="4" w:space="0" w:color="auto"/>
            </w:tcBorders>
            <w:shd w:val="clear" w:color="auto" w:fill="auto"/>
          </w:tcPr>
          <w:p w:rsidR="00B435A9" w:rsidRPr="00AA162B" w:rsidRDefault="00B435A9" w:rsidP="002A56A3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</w:rPr>
            </w:pPr>
          </w:p>
        </w:tc>
        <w:tc>
          <w:tcPr>
            <w:tcW w:w="6703" w:type="dxa"/>
            <w:tcBorders>
              <w:bottom w:val="single" w:sz="4" w:space="0" w:color="auto"/>
            </w:tcBorders>
            <w:shd w:val="clear" w:color="auto" w:fill="auto"/>
          </w:tcPr>
          <w:p w:rsidR="00B435A9" w:rsidRPr="00AA162B" w:rsidRDefault="00B435A9" w:rsidP="002A56A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AA162B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Primaires (préformés)</w:t>
            </w:r>
          </w:p>
        </w:tc>
      </w:tr>
      <w:tr w:rsidR="00B435A9" w:rsidRPr="00AA162B" w:rsidTr="002A56A3">
        <w:trPr>
          <w:trHeight w:val="3129"/>
        </w:trPr>
        <w:tc>
          <w:tcPr>
            <w:cnfStyle w:val="001000000000"/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35A9" w:rsidRPr="00AA162B" w:rsidRDefault="00B435A9" w:rsidP="002A56A3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</w:rPr>
            </w:pPr>
            <w:r w:rsidRPr="00AA162B"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</w:rPr>
              <w:t>Histamine, héparine</w:t>
            </w:r>
          </w:p>
          <w:p w:rsidR="00B435A9" w:rsidRPr="00AA162B" w:rsidRDefault="00B435A9" w:rsidP="002A56A3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</w:rPr>
            </w:pPr>
            <w:r w:rsidRPr="00AA162B"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</w:rPr>
              <w:t>Sérotonine (rongeurs)</w:t>
            </w:r>
          </w:p>
          <w:p w:rsidR="00B435A9" w:rsidRPr="00AA162B" w:rsidRDefault="00B435A9" w:rsidP="002A56A3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</w:rPr>
            </w:pPr>
            <w:r w:rsidRPr="00AA162B"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</w:rPr>
              <w:t>Facteur chimiotactique des éosinophiles (ECF-A)</w:t>
            </w:r>
          </w:p>
          <w:p w:rsidR="00B435A9" w:rsidRPr="00AA162B" w:rsidRDefault="00B435A9" w:rsidP="002A56A3">
            <w:pPr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</w:rPr>
            </w:pPr>
            <w:r w:rsidRPr="00AA162B"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</w:rPr>
              <w:t>Facteur chimiotactique des neutrophiles (NCF-A)</w:t>
            </w:r>
          </w:p>
          <w:p w:rsidR="00B435A9" w:rsidRPr="00AA162B" w:rsidRDefault="00B435A9" w:rsidP="002A56A3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</w:rPr>
            </w:pPr>
            <w:r w:rsidRPr="00AA162B"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</w:rPr>
              <w:t>Protéase (</w:t>
            </w:r>
            <w:proofErr w:type="spellStart"/>
            <w:r w:rsidRPr="00AA162B"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</w:rPr>
              <w:t>tryptase</w:t>
            </w:r>
            <w:proofErr w:type="gramStart"/>
            <w:r w:rsidRPr="00AA162B"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</w:rPr>
              <w:t>,chymase</w:t>
            </w:r>
            <w:proofErr w:type="spellEnd"/>
            <w:proofErr w:type="gramEnd"/>
            <w:r w:rsidRPr="00AA162B"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</w:rPr>
              <w:t xml:space="preserve">)  </w:t>
            </w:r>
          </w:p>
        </w:tc>
        <w:tc>
          <w:tcPr>
            <w:tcW w:w="6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35A9" w:rsidRPr="00AA162B" w:rsidRDefault="00B435A9" w:rsidP="002A56A3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AA16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Perméabilité vasculaire accrue ; contraction des muscles lisses</w:t>
            </w:r>
          </w:p>
          <w:p w:rsidR="00B435A9" w:rsidRPr="00AA162B" w:rsidRDefault="00B435A9" w:rsidP="002A56A3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AA16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Perméabilité vasculaire accrue ; contraction des muscles lisses</w:t>
            </w:r>
          </w:p>
          <w:p w:rsidR="00B435A9" w:rsidRPr="00AA162B" w:rsidRDefault="00B435A9" w:rsidP="002A56A3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proofErr w:type="spellStart"/>
            <w:r w:rsidRPr="00AA16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Chimiotaxie</w:t>
            </w:r>
            <w:proofErr w:type="spellEnd"/>
            <w:r w:rsidRPr="00AA16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des éosinophiles</w:t>
            </w:r>
          </w:p>
          <w:p w:rsidR="00B435A9" w:rsidRPr="00AA162B" w:rsidRDefault="00B435A9" w:rsidP="002A56A3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  <w:p w:rsidR="00B435A9" w:rsidRPr="00AA162B" w:rsidRDefault="00B435A9" w:rsidP="002A56A3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proofErr w:type="spellStart"/>
            <w:r w:rsidRPr="00AA16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Chimiotaxie</w:t>
            </w:r>
            <w:proofErr w:type="spellEnd"/>
            <w:r w:rsidRPr="00AA16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 des neutrophiles</w:t>
            </w:r>
          </w:p>
          <w:p w:rsidR="00B435A9" w:rsidRPr="00AA162B" w:rsidRDefault="00B435A9" w:rsidP="002A56A3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  <w:p w:rsidR="00B435A9" w:rsidRPr="00AA162B" w:rsidRDefault="00B435A9" w:rsidP="002A56A3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AA16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Sécrétion de mucus bronchique ; dégranulation de la membrane basale des vaisseaux sanguins ; création de produits de coupure du complément </w:t>
            </w:r>
          </w:p>
        </w:tc>
      </w:tr>
      <w:tr w:rsidR="00B435A9" w:rsidRPr="00AA162B" w:rsidTr="002A56A3">
        <w:trPr>
          <w:cnfStyle w:val="000000100000"/>
          <w:trHeight w:val="374"/>
        </w:trPr>
        <w:tc>
          <w:tcPr>
            <w:cnfStyle w:val="001000000000"/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35A9" w:rsidRPr="00AA162B" w:rsidRDefault="00B435A9" w:rsidP="002A56A3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</w:tc>
        <w:tc>
          <w:tcPr>
            <w:tcW w:w="6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35A9" w:rsidRPr="00AA162B" w:rsidRDefault="00B435A9" w:rsidP="002A56A3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</w:pPr>
            <w:r w:rsidRPr="00AA162B">
              <w:rPr>
                <w:rFonts w:ascii="Times New Roman" w:hAnsi="Times New Roman" w:cs="Times New Roman"/>
                <w:b/>
                <w:color w:val="auto"/>
                <w:sz w:val="20"/>
                <w:szCs w:val="24"/>
              </w:rPr>
              <w:t>Secondaires (néoformés)</w:t>
            </w:r>
          </w:p>
        </w:tc>
      </w:tr>
      <w:tr w:rsidR="00B435A9" w:rsidRPr="00AA162B" w:rsidTr="002A56A3">
        <w:trPr>
          <w:trHeight w:val="3520"/>
        </w:trPr>
        <w:tc>
          <w:tcPr>
            <w:cnfStyle w:val="001000000000"/>
            <w:tcW w:w="3104" w:type="dxa"/>
            <w:tcBorders>
              <w:top w:val="single" w:sz="4" w:space="0" w:color="auto"/>
            </w:tcBorders>
          </w:tcPr>
          <w:p w:rsidR="00B435A9" w:rsidRPr="00AA162B" w:rsidRDefault="00B435A9" w:rsidP="002A56A3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</w:rPr>
            </w:pPr>
            <w:r w:rsidRPr="00AA162B"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</w:rPr>
              <w:t>Facteur d’activation des plaquettes</w:t>
            </w:r>
          </w:p>
          <w:p w:rsidR="00B435A9" w:rsidRPr="00AA162B" w:rsidRDefault="00B435A9" w:rsidP="002A56A3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</w:rPr>
            </w:pPr>
            <w:proofErr w:type="spellStart"/>
            <w:r w:rsidRPr="00AA162B"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</w:rPr>
              <w:t>Leucotrènes</w:t>
            </w:r>
            <w:proofErr w:type="spellEnd"/>
            <w:r w:rsidRPr="00AA162B"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</w:rPr>
              <w:t xml:space="preserve"> (substance réactive lente de l’anaphylaxie, SRS-A)</w:t>
            </w:r>
          </w:p>
          <w:p w:rsidR="00B435A9" w:rsidRPr="00AA162B" w:rsidRDefault="00B435A9" w:rsidP="002A56A3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</w:rPr>
            </w:pPr>
            <w:r w:rsidRPr="00AA162B"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</w:rPr>
              <w:t>Prostaglandines</w:t>
            </w:r>
          </w:p>
          <w:p w:rsidR="00B435A9" w:rsidRPr="00AA162B" w:rsidRDefault="00B435A9" w:rsidP="002A56A3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</w:rPr>
            </w:pPr>
            <w:r w:rsidRPr="00AA162B"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</w:rPr>
              <w:t xml:space="preserve">Bradykinine </w:t>
            </w:r>
          </w:p>
          <w:p w:rsidR="00B435A9" w:rsidRPr="00AA162B" w:rsidRDefault="00B435A9" w:rsidP="002A56A3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</w:rPr>
            </w:pPr>
            <w:r w:rsidRPr="00AA162B"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</w:rPr>
              <w:t xml:space="preserve">Cytokines </w:t>
            </w:r>
          </w:p>
          <w:p w:rsidR="00B435A9" w:rsidRPr="00AA162B" w:rsidRDefault="00B435A9" w:rsidP="002A56A3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</w:rPr>
            </w:pPr>
            <w:r w:rsidRPr="00AA162B"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</w:rPr>
              <w:t xml:space="preserve">    IL 1 et TNFα</w:t>
            </w:r>
          </w:p>
          <w:p w:rsidR="00B435A9" w:rsidRPr="00AA162B" w:rsidRDefault="00B435A9" w:rsidP="002A56A3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</w:rPr>
            </w:pPr>
            <w:r w:rsidRPr="00AA162B"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</w:rPr>
              <w:t xml:space="preserve">    IL 4 et IL 13</w:t>
            </w:r>
          </w:p>
          <w:p w:rsidR="00B435A9" w:rsidRPr="00AA162B" w:rsidRDefault="00B435A9" w:rsidP="002A56A3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</w:rPr>
            </w:pPr>
            <w:r w:rsidRPr="00AA162B"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</w:rPr>
              <w:t>IL3</w:t>
            </w:r>
            <w:proofErr w:type="gramStart"/>
            <w:r w:rsidRPr="00AA162B"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</w:rPr>
              <w:t>,IL5,IL6,IL10,</w:t>
            </w:r>
            <w:proofErr w:type="spellStart"/>
            <w:r w:rsidRPr="00AA162B"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</w:rPr>
              <w:t>TGFβetGM</w:t>
            </w:r>
            <w:proofErr w:type="spellEnd"/>
            <w:proofErr w:type="gramEnd"/>
            <w:r w:rsidRPr="00AA162B">
              <w:rPr>
                <w:rFonts w:ascii="Times New Roman" w:hAnsi="Times New Roman" w:cs="Times New Roman"/>
                <w:b w:val="0"/>
                <w:color w:val="auto"/>
                <w:sz w:val="20"/>
                <w:szCs w:val="24"/>
              </w:rPr>
              <w:t>-CSF</w:t>
            </w:r>
          </w:p>
        </w:tc>
        <w:tc>
          <w:tcPr>
            <w:tcW w:w="6703" w:type="dxa"/>
            <w:tcBorders>
              <w:top w:val="single" w:sz="4" w:space="0" w:color="auto"/>
            </w:tcBorders>
          </w:tcPr>
          <w:p w:rsidR="00B435A9" w:rsidRPr="00AA162B" w:rsidRDefault="00B435A9" w:rsidP="002A56A3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AA16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Agrégation et dégranulation des plaquettes ; contraction des muscles lisses</w:t>
            </w:r>
          </w:p>
          <w:p w:rsidR="00B435A9" w:rsidRPr="00AA162B" w:rsidRDefault="00B435A9" w:rsidP="002A56A3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AA16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Perméabilité vasculaire accrue ; contraction des muscles lisses</w:t>
            </w:r>
          </w:p>
          <w:p w:rsidR="00B435A9" w:rsidRPr="00AA162B" w:rsidRDefault="00B435A9" w:rsidP="002A56A3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</w:p>
          <w:p w:rsidR="00B435A9" w:rsidRPr="00AA162B" w:rsidRDefault="00B435A9" w:rsidP="002A56A3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AA16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Vasodilatation ;  contraction des muscles lisses ; agrégation des plaquettes</w:t>
            </w:r>
          </w:p>
          <w:p w:rsidR="00B435A9" w:rsidRPr="00AA162B" w:rsidRDefault="00B435A9" w:rsidP="002A56A3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AA16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Perméabilité vasculaire accrue ; contraction des muscles lisses</w:t>
            </w:r>
          </w:p>
          <w:p w:rsidR="00B435A9" w:rsidRPr="00AA162B" w:rsidRDefault="00B435A9" w:rsidP="002A56A3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AA16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Anaphylaxie systémique ; expression accrue des CAM sur les cellules endothéliales des veinules</w:t>
            </w:r>
          </w:p>
          <w:p w:rsidR="00B435A9" w:rsidRPr="00AA162B" w:rsidRDefault="00B435A9" w:rsidP="002A56A3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AA16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Augmentation de la production des </w:t>
            </w:r>
            <w:proofErr w:type="spellStart"/>
            <w:r w:rsidRPr="00AA16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>IgE</w:t>
            </w:r>
            <w:proofErr w:type="spellEnd"/>
          </w:p>
          <w:p w:rsidR="00B435A9" w:rsidRPr="00AA162B" w:rsidRDefault="00B435A9" w:rsidP="002A56A3">
            <w:pPr>
              <w:spacing w:line="360" w:lineRule="auto"/>
              <w:jc w:val="both"/>
              <w:cnfStyle w:val="000000000000"/>
              <w:rPr>
                <w:rFonts w:ascii="Times New Roman" w:hAnsi="Times New Roman" w:cs="Times New Roman"/>
                <w:color w:val="auto"/>
                <w:sz w:val="20"/>
                <w:szCs w:val="24"/>
              </w:rPr>
            </w:pPr>
            <w:r w:rsidRPr="00AA162B">
              <w:rPr>
                <w:rFonts w:ascii="Times New Roman" w:hAnsi="Times New Roman" w:cs="Times New Roman"/>
                <w:color w:val="auto"/>
                <w:sz w:val="20"/>
                <w:szCs w:val="24"/>
              </w:rPr>
              <w:t xml:space="preserve">Effets divers </w:t>
            </w:r>
          </w:p>
        </w:tc>
      </w:tr>
    </w:tbl>
    <w:p w:rsidR="00B435A9" w:rsidRDefault="00B435A9" w:rsidP="00B435A9">
      <w:pPr>
        <w:spacing w:before="24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6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5A9" w:rsidRPr="00AA162B" w:rsidRDefault="00B435A9" w:rsidP="00B435A9">
      <w:pPr>
        <w:spacing w:before="24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62B">
        <w:rPr>
          <w:rFonts w:ascii="Times New Roman" w:hAnsi="Times New Roman" w:cs="Times New Roman"/>
          <w:b/>
          <w:sz w:val="24"/>
          <w:szCs w:val="24"/>
        </w:rPr>
        <w:lastRenderedPageBreak/>
        <w:t>2.5 Conséquences des réactions de type I</w:t>
      </w:r>
    </w:p>
    <w:p w:rsidR="00B435A9" w:rsidRPr="00AA162B" w:rsidRDefault="00B435A9" w:rsidP="00B435A9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62B">
        <w:rPr>
          <w:rFonts w:ascii="Times New Roman" w:hAnsi="Times New Roman" w:cs="Times New Roman"/>
          <w:b/>
          <w:sz w:val="24"/>
          <w:szCs w:val="24"/>
        </w:rPr>
        <w:t>2.5.1 Anaphylaxie systémique </w:t>
      </w:r>
    </w:p>
    <w:p w:rsidR="00B435A9" w:rsidRPr="00B435A9" w:rsidRDefault="00B435A9" w:rsidP="00B435A9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62B">
        <w:rPr>
          <w:rFonts w:ascii="Times New Roman" w:hAnsi="Times New Roman" w:cs="Times New Roman"/>
          <w:b/>
          <w:sz w:val="24"/>
          <w:szCs w:val="24"/>
        </w:rPr>
        <w:t>2.5.2 Anaphylaxie localisée (atopie) </w:t>
      </w:r>
      <w:r w:rsidRPr="00AA16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5A9" w:rsidRPr="00AA162B" w:rsidRDefault="00B435A9" w:rsidP="00B435A9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162B">
        <w:rPr>
          <w:rFonts w:ascii="Times New Roman" w:hAnsi="Times New Roman" w:cs="Times New Roman"/>
          <w:b/>
          <w:bCs/>
          <w:sz w:val="24"/>
          <w:szCs w:val="24"/>
        </w:rPr>
        <w:t>2.5.2.1 Rhinite allergique</w:t>
      </w:r>
    </w:p>
    <w:p w:rsidR="00B435A9" w:rsidRPr="00AA162B" w:rsidRDefault="00B435A9" w:rsidP="00B435A9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162B">
        <w:rPr>
          <w:rFonts w:ascii="Times New Roman" w:hAnsi="Times New Roman" w:cs="Times New Roman"/>
          <w:b/>
          <w:bCs/>
          <w:sz w:val="24"/>
          <w:szCs w:val="24"/>
        </w:rPr>
        <w:t>2.5.2.2 Asthme</w:t>
      </w:r>
    </w:p>
    <w:p w:rsidR="00B435A9" w:rsidRPr="00AA162B" w:rsidRDefault="00B435A9" w:rsidP="00B435A9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162B">
        <w:rPr>
          <w:rFonts w:ascii="Times New Roman" w:hAnsi="Times New Roman" w:cs="Times New Roman"/>
          <w:b/>
          <w:bCs/>
          <w:sz w:val="24"/>
          <w:szCs w:val="24"/>
        </w:rPr>
        <w:t>2.5.2.3 Allergies alimentaires</w:t>
      </w:r>
    </w:p>
    <w:p w:rsidR="00B435A9" w:rsidRPr="00AA162B" w:rsidRDefault="00B435A9" w:rsidP="00B435A9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162B">
        <w:rPr>
          <w:rFonts w:ascii="Times New Roman" w:hAnsi="Times New Roman" w:cs="Times New Roman"/>
          <w:b/>
          <w:bCs/>
          <w:sz w:val="24"/>
          <w:szCs w:val="24"/>
        </w:rPr>
        <w:t xml:space="preserve">2.5.2.4 Dermatite </w:t>
      </w:r>
      <w:proofErr w:type="spellStart"/>
      <w:r w:rsidRPr="00AA162B">
        <w:rPr>
          <w:rFonts w:ascii="Times New Roman" w:hAnsi="Times New Roman" w:cs="Times New Roman"/>
          <w:b/>
          <w:bCs/>
          <w:sz w:val="24"/>
          <w:szCs w:val="24"/>
        </w:rPr>
        <w:t>atopique</w:t>
      </w:r>
      <w:proofErr w:type="spellEnd"/>
    </w:p>
    <w:p w:rsidR="00B435A9" w:rsidRPr="00AA162B" w:rsidRDefault="00B435A9" w:rsidP="00B435A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62B">
        <w:rPr>
          <w:rFonts w:ascii="Times New Roman" w:hAnsi="Times New Roman" w:cs="Times New Roman"/>
          <w:b/>
          <w:bCs/>
          <w:sz w:val="24"/>
          <w:szCs w:val="24"/>
        </w:rPr>
        <w:t>2.6 Régulation de la réponse de type I</w:t>
      </w:r>
    </w:p>
    <w:p w:rsidR="00B435A9" w:rsidRPr="00AA162B" w:rsidRDefault="00B435A9" w:rsidP="00B435A9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162B">
        <w:rPr>
          <w:rFonts w:ascii="Times New Roman" w:hAnsi="Times New Roman" w:cs="Times New Roman"/>
          <w:b/>
          <w:bCs/>
          <w:sz w:val="24"/>
          <w:szCs w:val="24"/>
        </w:rPr>
        <w:t>2.7 Détection d’HSI</w:t>
      </w:r>
    </w:p>
    <w:p w:rsidR="00B435A9" w:rsidRPr="00AA162B" w:rsidRDefault="00B435A9" w:rsidP="00B435A9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162B">
        <w:rPr>
          <w:rFonts w:ascii="Times New Roman" w:hAnsi="Times New Roman" w:cs="Times New Roman"/>
          <w:b/>
          <w:bCs/>
          <w:sz w:val="24"/>
          <w:szCs w:val="24"/>
        </w:rPr>
        <w:t xml:space="preserve">2.8 Traitement d’HSI  </w:t>
      </w:r>
    </w:p>
    <w:p w:rsidR="00B435A9" w:rsidRPr="00AA162B" w:rsidRDefault="00B435A9" w:rsidP="00B435A9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162B">
        <w:rPr>
          <w:rFonts w:ascii="Times New Roman" w:hAnsi="Times New Roman" w:cs="Times New Roman"/>
          <w:b/>
          <w:bCs/>
          <w:sz w:val="24"/>
          <w:szCs w:val="24"/>
        </w:rPr>
        <w:t>Tableau.2 : Mécanisme d’action de certains médicaments utilisés pour traiter l’HSI.</w:t>
      </w:r>
    </w:p>
    <w:tbl>
      <w:tblPr>
        <w:tblStyle w:val="Grilledutableau"/>
        <w:tblW w:w="0" w:type="auto"/>
        <w:tblLook w:val="04A0"/>
      </w:tblPr>
      <w:tblGrid>
        <w:gridCol w:w="3085"/>
        <w:gridCol w:w="6835"/>
      </w:tblGrid>
      <w:tr w:rsidR="00B435A9" w:rsidRPr="00AA162B" w:rsidTr="002A56A3">
        <w:tc>
          <w:tcPr>
            <w:tcW w:w="3085" w:type="dxa"/>
          </w:tcPr>
          <w:p w:rsidR="00B435A9" w:rsidRPr="00AA162B" w:rsidRDefault="00B435A9" w:rsidP="002A56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Médicament</w:t>
            </w:r>
          </w:p>
        </w:tc>
        <w:tc>
          <w:tcPr>
            <w:tcW w:w="6835" w:type="dxa"/>
          </w:tcPr>
          <w:p w:rsidR="00B435A9" w:rsidRPr="00AA162B" w:rsidRDefault="00B435A9" w:rsidP="002A56A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Action</w:t>
            </w:r>
          </w:p>
        </w:tc>
      </w:tr>
      <w:tr w:rsidR="00B435A9" w:rsidRPr="00AA162B" w:rsidTr="002A56A3">
        <w:tc>
          <w:tcPr>
            <w:tcW w:w="3085" w:type="dxa"/>
          </w:tcPr>
          <w:p w:rsidR="00B435A9" w:rsidRPr="00AA162B" w:rsidRDefault="00B435A9" w:rsidP="002A56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62B">
              <w:rPr>
                <w:rFonts w:ascii="Times New Roman" w:hAnsi="Times New Roman" w:cs="Times New Roman"/>
                <w:sz w:val="24"/>
                <w:szCs w:val="24"/>
              </w:rPr>
              <w:t>Antihistaminiques</w:t>
            </w:r>
          </w:p>
          <w:p w:rsidR="00B435A9" w:rsidRPr="00AA162B" w:rsidRDefault="00B435A9" w:rsidP="002A56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5A9" w:rsidRPr="00AA162B" w:rsidRDefault="00B435A9" w:rsidP="002A56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62B">
              <w:rPr>
                <w:rFonts w:ascii="Times New Roman" w:hAnsi="Times New Roman" w:cs="Times New Roman"/>
                <w:sz w:val="24"/>
                <w:szCs w:val="24"/>
              </w:rPr>
              <w:t>Cromoglycate</w:t>
            </w:r>
            <w:proofErr w:type="spellEnd"/>
            <w:r w:rsidRPr="00AA162B">
              <w:rPr>
                <w:rFonts w:ascii="Times New Roman" w:hAnsi="Times New Roman" w:cs="Times New Roman"/>
                <w:sz w:val="24"/>
                <w:szCs w:val="24"/>
              </w:rPr>
              <w:t xml:space="preserve"> de sodium</w:t>
            </w:r>
          </w:p>
          <w:p w:rsidR="00B435A9" w:rsidRPr="00AA162B" w:rsidRDefault="00B435A9" w:rsidP="002A56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5A9" w:rsidRPr="00AA162B" w:rsidRDefault="00B435A9" w:rsidP="002A56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62B">
              <w:rPr>
                <w:rFonts w:ascii="Times New Roman" w:hAnsi="Times New Roman" w:cs="Times New Roman"/>
                <w:sz w:val="24"/>
                <w:szCs w:val="24"/>
              </w:rPr>
              <w:t>Théophylline</w:t>
            </w:r>
          </w:p>
          <w:p w:rsidR="00B435A9" w:rsidRPr="00AA162B" w:rsidRDefault="00B435A9" w:rsidP="002A56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5A9" w:rsidRPr="00AA162B" w:rsidRDefault="00B435A9" w:rsidP="002A56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62B">
              <w:rPr>
                <w:rFonts w:ascii="Times New Roman" w:hAnsi="Times New Roman" w:cs="Times New Roman"/>
                <w:sz w:val="24"/>
                <w:szCs w:val="24"/>
              </w:rPr>
              <w:t>Adrénaline</w:t>
            </w:r>
          </w:p>
          <w:p w:rsidR="00B435A9" w:rsidRPr="00AA162B" w:rsidRDefault="00B435A9" w:rsidP="002A56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5A9" w:rsidRPr="00AA162B" w:rsidRDefault="00B435A9" w:rsidP="002A56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62B">
              <w:rPr>
                <w:rFonts w:ascii="Times New Roman" w:hAnsi="Times New Roman" w:cs="Times New Roman"/>
                <w:sz w:val="24"/>
                <w:szCs w:val="24"/>
              </w:rPr>
              <w:t>Cortisone</w:t>
            </w:r>
          </w:p>
        </w:tc>
        <w:tc>
          <w:tcPr>
            <w:tcW w:w="6835" w:type="dxa"/>
          </w:tcPr>
          <w:p w:rsidR="00B435A9" w:rsidRPr="00AA162B" w:rsidRDefault="00B435A9" w:rsidP="002A56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62B">
              <w:rPr>
                <w:rFonts w:ascii="Times New Roman" w:hAnsi="Times New Roman" w:cs="Times New Roman"/>
                <w:sz w:val="24"/>
                <w:szCs w:val="24"/>
              </w:rPr>
              <w:t>Bloquent les récepteurs H1 et H2 des cellules cible</w:t>
            </w:r>
          </w:p>
          <w:p w:rsidR="00B435A9" w:rsidRPr="00AA162B" w:rsidRDefault="00B435A9" w:rsidP="002A56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5A9" w:rsidRPr="00AA162B" w:rsidRDefault="00B435A9" w:rsidP="002A56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62B">
              <w:rPr>
                <w:rFonts w:ascii="Times New Roman" w:hAnsi="Times New Roman" w:cs="Times New Roman"/>
                <w:sz w:val="24"/>
                <w:szCs w:val="24"/>
              </w:rPr>
              <w:t>Bloque l’influx de calcium dans les mastocytes</w:t>
            </w:r>
          </w:p>
          <w:p w:rsidR="00B435A9" w:rsidRPr="00AA162B" w:rsidRDefault="00B435A9" w:rsidP="002A56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5A9" w:rsidRPr="00AA162B" w:rsidRDefault="00B435A9" w:rsidP="002A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2B">
              <w:rPr>
                <w:rFonts w:ascii="Times New Roman" w:hAnsi="Times New Roman" w:cs="Times New Roman"/>
                <w:sz w:val="24"/>
                <w:szCs w:val="24"/>
              </w:rPr>
              <w:t xml:space="preserve">Prolonge les taux élevés de </w:t>
            </w:r>
            <w:proofErr w:type="spellStart"/>
            <w:r w:rsidRPr="00AA162B">
              <w:rPr>
                <w:rFonts w:ascii="Times New Roman" w:hAnsi="Times New Roman" w:cs="Times New Roman"/>
                <w:sz w:val="24"/>
                <w:szCs w:val="24"/>
              </w:rPr>
              <w:t>cAMP</w:t>
            </w:r>
            <w:proofErr w:type="spellEnd"/>
            <w:r w:rsidRPr="00AA162B">
              <w:rPr>
                <w:rFonts w:ascii="Times New Roman" w:hAnsi="Times New Roman" w:cs="Times New Roman"/>
                <w:sz w:val="24"/>
                <w:szCs w:val="24"/>
              </w:rPr>
              <w:t xml:space="preserve"> dans les mastocytes en inhibant la </w:t>
            </w:r>
            <w:proofErr w:type="spellStart"/>
            <w:r w:rsidRPr="00AA162B">
              <w:rPr>
                <w:rFonts w:ascii="Times New Roman" w:hAnsi="Times New Roman" w:cs="Times New Roman"/>
                <w:sz w:val="24"/>
                <w:szCs w:val="24"/>
              </w:rPr>
              <w:t>phosphodiestérase</w:t>
            </w:r>
            <w:proofErr w:type="spellEnd"/>
            <w:r w:rsidRPr="00AA162B">
              <w:rPr>
                <w:rFonts w:ascii="Times New Roman" w:hAnsi="Times New Roman" w:cs="Times New Roman"/>
                <w:sz w:val="24"/>
                <w:szCs w:val="24"/>
              </w:rPr>
              <w:t xml:space="preserve"> qui clive le </w:t>
            </w:r>
            <w:proofErr w:type="spellStart"/>
            <w:r w:rsidRPr="00AA162B">
              <w:rPr>
                <w:rFonts w:ascii="Times New Roman" w:hAnsi="Times New Roman" w:cs="Times New Roman"/>
                <w:sz w:val="24"/>
                <w:szCs w:val="24"/>
              </w:rPr>
              <w:t>cAMP</w:t>
            </w:r>
            <w:proofErr w:type="spellEnd"/>
            <w:r w:rsidRPr="00AA162B">
              <w:rPr>
                <w:rFonts w:ascii="Times New Roman" w:hAnsi="Times New Roman" w:cs="Times New Roman"/>
                <w:sz w:val="24"/>
                <w:szCs w:val="24"/>
              </w:rPr>
              <w:t xml:space="preserve"> en 5’AMP</w:t>
            </w:r>
          </w:p>
          <w:p w:rsidR="00B435A9" w:rsidRPr="00AA162B" w:rsidRDefault="00B435A9" w:rsidP="002A5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5A9" w:rsidRPr="00AA162B" w:rsidRDefault="00B435A9" w:rsidP="002A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2B">
              <w:rPr>
                <w:rFonts w:ascii="Times New Roman" w:hAnsi="Times New Roman" w:cs="Times New Roman"/>
                <w:sz w:val="24"/>
                <w:szCs w:val="24"/>
              </w:rPr>
              <w:t xml:space="preserve">Stimule la production de </w:t>
            </w:r>
            <w:proofErr w:type="spellStart"/>
            <w:r w:rsidRPr="00AA162B">
              <w:rPr>
                <w:rFonts w:ascii="Times New Roman" w:hAnsi="Times New Roman" w:cs="Times New Roman"/>
                <w:sz w:val="24"/>
                <w:szCs w:val="24"/>
              </w:rPr>
              <w:t>cAMP</w:t>
            </w:r>
            <w:proofErr w:type="spellEnd"/>
            <w:r w:rsidRPr="00AA162B">
              <w:rPr>
                <w:rFonts w:ascii="Times New Roman" w:hAnsi="Times New Roman" w:cs="Times New Roman"/>
                <w:sz w:val="24"/>
                <w:szCs w:val="24"/>
              </w:rPr>
              <w:t xml:space="preserve"> en se liant aux récepteurs β-adrénergiques des mastocytes</w:t>
            </w:r>
          </w:p>
          <w:p w:rsidR="00B435A9" w:rsidRPr="00AA162B" w:rsidRDefault="00B435A9" w:rsidP="002A56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5A9" w:rsidRPr="00AA162B" w:rsidRDefault="00B435A9" w:rsidP="002A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62B">
              <w:rPr>
                <w:rFonts w:ascii="Times New Roman" w:hAnsi="Times New Roman" w:cs="Times New Roman"/>
                <w:sz w:val="24"/>
                <w:szCs w:val="24"/>
              </w:rPr>
              <w:t xml:space="preserve">Réduit les taux d’histamine en bloquant la conversion de l’histidine en histamine et stimule la production du </w:t>
            </w:r>
            <w:proofErr w:type="spellStart"/>
            <w:r w:rsidRPr="00AA162B">
              <w:rPr>
                <w:rFonts w:ascii="Times New Roman" w:hAnsi="Times New Roman" w:cs="Times New Roman"/>
                <w:sz w:val="24"/>
                <w:szCs w:val="24"/>
              </w:rPr>
              <w:t>cAMP</w:t>
            </w:r>
            <w:proofErr w:type="spellEnd"/>
            <w:r w:rsidRPr="00AA162B">
              <w:rPr>
                <w:rFonts w:ascii="Times New Roman" w:hAnsi="Times New Roman" w:cs="Times New Roman"/>
                <w:sz w:val="24"/>
                <w:szCs w:val="24"/>
              </w:rPr>
              <w:t xml:space="preserve"> par les mastocytes</w:t>
            </w:r>
          </w:p>
        </w:tc>
      </w:tr>
    </w:tbl>
    <w:p w:rsidR="00B435A9" w:rsidRPr="00AA162B" w:rsidRDefault="00B435A9" w:rsidP="00B435A9"/>
    <w:p w:rsidR="002A45DC" w:rsidRPr="00E23EB8" w:rsidRDefault="002A45DC" w:rsidP="002A45D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3EB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64848" cy="3593805"/>
            <wp:effectExtent l="19050" t="19050" r="26352" b="25695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91232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5DC" w:rsidRDefault="002A45DC" w:rsidP="002A45D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EB8">
        <w:rPr>
          <w:rFonts w:ascii="Times New Roman" w:hAnsi="Times New Roman" w:cs="Times New Roman"/>
          <w:b/>
          <w:sz w:val="24"/>
          <w:szCs w:val="24"/>
        </w:rPr>
        <w:t>Fig.1 : les quatre types de réponses d’hypersensibilité</w:t>
      </w:r>
      <w:r w:rsidRPr="00E23EB8">
        <w:rPr>
          <w:rFonts w:ascii="Times New Roman" w:hAnsi="Times New Roman" w:cs="Times New Roman"/>
          <w:sz w:val="24"/>
          <w:szCs w:val="24"/>
        </w:rPr>
        <w:t xml:space="preserve"> (</w:t>
      </w:r>
      <w:r w:rsidRPr="00E23EB8">
        <w:rPr>
          <w:rFonts w:ascii="Times New Roman" w:hAnsi="Times New Roman" w:cs="Times New Roman"/>
          <w:b/>
          <w:sz w:val="24"/>
          <w:szCs w:val="24"/>
        </w:rPr>
        <w:t xml:space="preserve">Classification de </w:t>
      </w:r>
      <w:proofErr w:type="spellStart"/>
      <w:r w:rsidRPr="00E23EB8">
        <w:rPr>
          <w:rFonts w:ascii="Times New Roman" w:hAnsi="Times New Roman" w:cs="Times New Roman"/>
          <w:b/>
          <w:sz w:val="24"/>
          <w:szCs w:val="24"/>
        </w:rPr>
        <w:t>Gell</w:t>
      </w:r>
      <w:proofErr w:type="spellEnd"/>
      <w:r w:rsidRPr="00E23EB8">
        <w:rPr>
          <w:rFonts w:ascii="Times New Roman" w:hAnsi="Times New Roman" w:cs="Times New Roman"/>
          <w:b/>
          <w:sz w:val="24"/>
          <w:szCs w:val="24"/>
        </w:rPr>
        <w:t xml:space="preserve"> &amp; </w:t>
      </w:r>
      <w:proofErr w:type="spellStart"/>
      <w:r w:rsidRPr="00E23EB8">
        <w:rPr>
          <w:rFonts w:ascii="Times New Roman" w:hAnsi="Times New Roman" w:cs="Times New Roman"/>
          <w:b/>
          <w:sz w:val="24"/>
          <w:szCs w:val="24"/>
        </w:rPr>
        <w:t>Coombs</w:t>
      </w:r>
      <w:proofErr w:type="spellEnd"/>
      <w:r w:rsidRPr="00E23EB8">
        <w:rPr>
          <w:rFonts w:ascii="Times New Roman" w:hAnsi="Times New Roman" w:cs="Times New Roman"/>
          <w:b/>
          <w:sz w:val="24"/>
          <w:szCs w:val="24"/>
        </w:rPr>
        <w:t>).</w:t>
      </w:r>
    </w:p>
    <w:p w:rsidR="002A45DC" w:rsidRPr="00E23EB8" w:rsidRDefault="002A45DC" w:rsidP="002A45DC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23EB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5182" cy="3408754"/>
            <wp:effectExtent l="19050" t="19050" r="27468" b="20246"/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004" cy="34143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5DC" w:rsidRDefault="002A45DC" w:rsidP="002A45DC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EB8">
        <w:rPr>
          <w:rFonts w:ascii="Times New Roman" w:hAnsi="Times New Roman" w:cs="Times New Roman"/>
          <w:b/>
          <w:sz w:val="24"/>
          <w:szCs w:val="24"/>
        </w:rPr>
        <w:t>Fig.2 : Mécanisme général sous-jacent à une réaction d’</w:t>
      </w:r>
      <w:r w:rsidRPr="00E23EB8">
        <w:rPr>
          <w:rFonts w:ascii="Times New Roman" w:hAnsi="Times New Roman" w:cs="Times New Roman"/>
          <w:sz w:val="24"/>
          <w:szCs w:val="24"/>
        </w:rPr>
        <w:t xml:space="preserve"> </w:t>
      </w:r>
      <w:r w:rsidRPr="00E23EB8">
        <w:rPr>
          <w:rFonts w:ascii="Times New Roman" w:hAnsi="Times New Roman" w:cs="Times New Roman"/>
          <w:b/>
          <w:sz w:val="24"/>
          <w:szCs w:val="24"/>
        </w:rPr>
        <w:t>HS I.</w:t>
      </w:r>
    </w:p>
    <w:p w:rsidR="00B435A9" w:rsidRDefault="00B435A9" w:rsidP="00B435A9"/>
    <w:p w:rsidR="00EB1DEF" w:rsidRDefault="00EB1DEF"/>
    <w:sectPr w:rsidR="00EB1DEF" w:rsidSect="00A57CAB">
      <w:footerReference w:type="default" r:id="rId7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28188"/>
      <w:docPartObj>
        <w:docPartGallery w:val="Page Numbers (Bottom of Page)"/>
        <w:docPartUnique/>
      </w:docPartObj>
    </w:sdtPr>
    <w:sdtEndPr/>
    <w:sdtContent>
      <w:p w:rsidR="00A57CAB" w:rsidRDefault="00EB1DEF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45DC">
          <w:rPr>
            <w:noProof/>
          </w:rPr>
          <w:t>1</w:t>
        </w:r>
        <w:r>
          <w:fldChar w:fldCharType="end"/>
        </w:r>
      </w:p>
    </w:sdtContent>
  </w:sdt>
  <w:p w:rsidR="00A57CAB" w:rsidRDefault="00EB1DEF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3EF6"/>
    <w:multiLevelType w:val="hybridMultilevel"/>
    <w:tmpl w:val="CC6CF0A0"/>
    <w:lvl w:ilvl="0" w:tplc="5CF0C4EA">
      <w:start w:val="2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E946ED0"/>
    <w:multiLevelType w:val="hybridMultilevel"/>
    <w:tmpl w:val="E4624010"/>
    <w:lvl w:ilvl="0" w:tplc="5CF0C4EA">
      <w:start w:val="2"/>
      <w:numFmt w:val="bullet"/>
      <w:lvlText w:val="-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8826493"/>
    <w:multiLevelType w:val="hybridMultilevel"/>
    <w:tmpl w:val="4008F69C"/>
    <w:lvl w:ilvl="0" w:tplc="5CF0C4EA">
      <w:start w:val="2"/>
      <w:numFmt w:val="bullet"/>
      <w:lvlText w:val="-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0EF1A37"/>
    <w:multiLevelType w:val="hybridMultilevel"/>
    <w:tmpl w:val="B96ACF28"/>
    <w:lvl w:ilvl="0" w:tplc="5CF0C4E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6628E"/>
    <w:multiLevelType w:val="hybridMultilevel"/>
    <w:tmpl w:val="582C0684"/>
    <w:lvl w:ilvl="0" w:tplc="5CF0C4EA">
      <w:start w:val="2"/>
      <w:numFmt w:val="bullet"/>
      <w:lvlText w:val="-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2EB5A9C"/>
    <w:multiLevelType w:val="multilevel"/>
    <w:tmpl w:val="43AA3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644E7C"/>
    <w:multiLevelType w:val="hybridMultilevel"/>
    <w:tmpl w:val="53AC7C6C"/>
    <w:lvl w:ilvl="0" w:tplc="040C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>
    <w:nsid w:val="3AC676ED"/>
    <w:multiLevelType w:val="hybridMultilevel"/>
    <w:tmpl w:val="8A50B6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F018A8"/>
    <w:multiLevelType w:val="hybridMultilevel"/>
    <w:tmpl w:val="5AD4F866"/>
    <w:lvl w:ilvl="0" w:tplc="5CF0C4EA">
      <w:start w:val="2"/>
      <w:numFmt w:val="bullet"/>
      <w:lvlText w:val="-"/>
      <w:lvlJc w:val="left"/>
      <w:pPr>
        <w:ind w:left="134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9">
    <w:nsid w:val="5C544623"/>
    <w:multiLevelType w:val="hybridMultilevel"/>
    <w:tmpl w:val="F0C077AE"/>
    <w:lvl w:ilvl="0" w:tplc="6BAAF88E">
      <w:numFmt w:val="bullet"/>
      <w:lvlText w:val=""/>
      <w:lvlJc w:val="left"/>
      <w:pPr>
        <w:ind w:left="1287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F6D2F75"/>
    <w:multiLevelType w:val="hybridMultilevel"/>
    <w:tmpl w:val="C7B02CAC"/>
    <w:lvl w:ilvl="0" w:tplc="5CF0C4EA">
      <w:start w:val="2"/>
      <w:numFmt w:val="bullet"/>
      <w:lvlText w:val="-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0"/>
  </w:num>
  <w:num w:numId="5">
    <w:abstractNumId w:val="3"/>
  </w:num>
  <w:num w:numId="6">
    <w:abstractNumId w:val="2"/>
  </w:num>
  <w:num w:numId="7">
    <w:abstractNumId w:val="8"/>
  </w:num>
  <w:num w:numId="8">
    <w:abstractNumId w:val="1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B435A9"/>
    <w:rsid w:val="002A45DC"/>
    <w:rsid w:val="00B435A9"/>
    <w:rsid w:val="00EB1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35A9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B43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35A9"/>
  </w:style>
  <w:style w:type="table" w:customStyle="1" w:styleId="Ombrageclair1">
    <w:name w:val="Ombrage clair1"/>
    <w:basedOn w:val="TableauNormal"/>
    <w:uiPriority w:val="60"/>
    <w:rsid w:val="00B435A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rilledutableau">
    <w:name w:val="Table Grid"/>
    <w:basedOn w:val="TableauNormal"/>
    <w:uiPriority w:val="59"/>
    <w:rsid w:val="00B435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A4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45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1025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2022-02-03T21:28:00Z</dcterms:created>
  <dcterms:modified xsi:type="dcterms:W3CDTF">2022-02-03T21:38:00Z</dcterms:modified>
</cp:coreProperties>
</file>